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31421" w:rsidP="00231421">
      <w:pPr>
        <w:pStyle w:val="Title"/>
        <w:rPr>
          <w:sz w:val="28"/>
          <w:szCs w:val="28"/>
        </w:rPr>
      </w:pPr>
      <w:r>
        <w:rPr>
          <w:sz w:val="28"/>
          <w:szCs w:val="28"/>
        </w:rPr>
        <w:t>РЕШЕНИЕ</w:t>
      </w:r>
    </w:p>
    <w:p w:rsidR="00231421" w:rsidP="00231421">
      <w:pPr>
        <w:pStyle w:val="Subtitle"/>
        <w:rPr>
          <w:sz w:val="28"/>
          <w:szCs w:val="28"/>
        </w:rPr>
      </w:pPr>
      <w:r>
        <w:rPr>
          <w:sz w:val="28"/>
          <w:szCs w:val="28"/>
        </w:rPr>
        <w:t>ИМЕНЕМ РОССИЙСКОЙ ФЕДЕРАЦИИ</w:t>
      </w:r>
    </w:p>
    <w:p w:rsidR="00231421" w:rsidP="00231421">
      <w:pPr>
        <w:pStyle w:val="Subtitle"/>
        <w:rPr>
          <w:sz w:val="28"/>
          <w:szCs w:val="28"/>
        </w:rPr>
      </w:pPr>
    </w:p>
    <w:p w:rsidR="00231421" w:rsidP="00231421">
      <w:pPr>
        <w:jc w:val="both"/>
        <w:rPr>
          <w:spacing w:val="-1"/>
          <w:sz w:val="28"/>
          <w:szCs w:val="28"/>
        </w:rPr>
      </w:pPr>
      <w:r>
        <w:rPr>
          <w:spacing w:val="-1"/>
          <w:sz w:val="28"/>
          <w:szCs w:val="28"/>
        </w:rPr>
        <w:t>г. Ханты–</w:t>
      </w:r>
      <w:r>
        <w:rPr>
          <w:spacing w:val="-1"/>
          <w:sz w:val="28"/>
          <w:szCs w:val="28"/>
        </w:rPr>
        <w:t>Мансийск</w:t>
      </w:r>
      <w:r>
        <w:rPr>
          <w:spacing w:val="-1"/>
          <w:sz w:val="28"/>
          <w:szCs w:val="28"/>
        </w:rPr>
        <w:t xml:space="preserve">                                                                  16 декабря 2025 года </w:t>
      </w:r>
    </w:p>
    <w:p w:rsidR="00231421" w:rsidP="00231421">
      <w:pPr>
        <w:jc w:val="both"/>
        <w:rPr>
          <w:spacing w:val="-1"/>
          <w:sz w:val="28"/>
          <w:szCs w:val="28"/>
        </w:rPr>
      </w:pPr>
      <w:r>
        <w:rPr>
          <w:spacing w:val="-1"/>
          <w:sz w:val="28"/>
          <w:szCs w:val="28"/>
        </w:rPr>
        <w:t xml:space="preserve"> </w:t>
      </w:r>
    </w:p>
    <w:p w:rsidR="00231421" w:rsidP="00231421">
      <w:pPr>
        <w:ind w:firstLine="567"/>
        <w:jc w:val="both"/>
        <w:rPr>
          <w:sz w:val="28"/>
          <w:szCs w:val="28"/>
        </w:rPr>
      </w:pPr>
      <w:r>
        <w:rPr>
          <w:sz w:val="28"/>
          <w:szCs w:val="28"/>
        </w:rPr>
        <w:t>Мировой судья судебного участка № 2 Ханты-Мансийского судебного района Ханты-Мансийского автономного округа - Югры Новокшенова О.А.,</w:t>
      </w:r>
    </w:p>
    <w:p w:rsidR="00231421" w:rsidP="00231421">
      <w:pPr>
        <w:ind w:firstLine="567"/>
        <w:jc w:val="both"/>
        <w:rPr>
          <w:sz w:val="28"/>
          <w:szCs w:val="28"/>
        </w:rPr>
      </w:pPr>
      <w:r>
        <w:rPr>
          <w:sz w:val="28"/>
          <w:szCs w:val="28"/>
        </w:rPr>
        <w:t>при секретаре Тесленко С.Ю.,</w:t>
      </w:r>
    </w:p>
    <w:p w:rsidR="00231421" w:rsidP="00231421">
      <w:pPr>
        <w:ind w:firstLine="567"/>
        <w:jc w:val="both"/>
        <w:rPr>
          <w:sz w:val="28"/>
          <w:szCs w:val="28"/>
        </w:rPr>
      </w:pPr>
      <w:r>
        <w:rPr>
          <w:sz w:val="28"/>
          <w:szCs w:val="28"/>
        </w:rPr>
        <w:t>с участием ответчика,</w:t>
      </w:r>
    </w:p>
    <w:p w:rsidR="00231421" w:rsidP="00231421">
      <w:pPr>
        <w:ind w:firstLine="567"/>
        <w:jc w:val="both"/>
        <w:rPr>
          <w:sz w:val="28"/>
          <w:szCs w:val="28"/>
        </w:rPr>
      </w:pPr>
      <w:r>
        <w:rPr>
          <w:sz w:val="28"/>
          <w:szCs w:val="28"/>
        </w:rPr>
        <w:t xml:space="preserve">рассмотрев в открытом судебном заседании гражданское дело №2-2877-2802/2025 по иску ООО УК «Горизонт» к Стародубовой </w:t>
      </w:r>
      <w:r w:rsidR="00EE17AA">
        <w:rPr>
          <w:sz w:val="28"/>
          <w:szCs w:val="28"/>
        </w:rPr>
        <w:t>**</w:t>
      </w:r>
      <w:r w:rsidR="00EE17AA">
        <w:rPr>
          <w:sz w:val="28"/>
          <w:szCs w:val="28"/>
        </w:rPr>
        <w:t xml:space="preserve">* </w:t>
      </w:r>
      <w:r>
        <w:rPr>
          <w:sz w:val="28"/>
          <w:szCs w:val="28"/>
        </w:rPr>
        <w:t xml:space="preserve"> о</w:t>
      </w:r>
      <w:r>
        <w:rPr>
          <w:sz w:val="28"/>
          <w:szCs w:val="28"/>
        </w:rPr>
        <w:t xml:space="preserve"> взыскании задолженности, </w:t>
      </w:r>
    </w:p>
    <w:p w:rsidR="00231421" w:rsidP="00231421">
      <w:pPr>
        <w:jc w:val="center"/>
        <w:rPr>
          <w:sz w:val="28"/>
          <w:szCs w:val="28"/>
        </w:rPr>
      </w:pPr>
      <w:r>
        <w:rPr>
          <w:sz w:val="28"/>
          <w:szCs w:val="28"/>
        </w:rPr>
        <w:t>УСТАНОВИЛ:</w:t>
      </w:r>
    </w:p>
    <w:p w:rsidR="00231421" w:rsidP="00231421">
      <w:pPr>
        <w:pStyle w:val="Heading2"/>
        <w:ind w:firstLine="567"/>
        <w:jc w:val="both"/>
        <w:rPr>
          <w:b w:val="0"/>
          <w:szCs w:val="28"/>
        </w:rPr>
      </w:pPr>
      <w:r>
        <w:rPr>
          <w:b w:val="0"/>
          <w:szCs w:val="28"/>
        </w:rPr>
        <w:t>Истец обратился в суд с исковым заявлением к ответчику о взыскании задолженности по взносам на капитальный ремонт в многоквартирном доме, мотивировав свои требования тем, что ответчик владеет на праве собственности жилым помещением –</w:t>
      </w:r>
      <w:r w:rsidR="00EE17AA">
        <w:rPr>
          <w:szCs w:val="28"/>
        </w:rPr>
        <w:t>**</w:t>
      </w:r>
      <w:r w:rsidR="00EE17AA">
        <w:rPr>
          <w:szCs w:val="28"/>
        </w:rPr>
        <w:t xml:space="preserve">*  </w:t>
      </w:r>
      <w:r>
        <w:rPr>
          <w:b w:val="0"/>
          <w:szCs w:val="28"/>
        </w:rPr>
        <w:t>в</w:t>
      </w:r>
      <w:r>
        <w:rPr>
          <w:b w:val="0"/>
          <w:szCs w:val="28"/>
        </w:rPr>
        <w:t xml:space="preserve"> многоквартирном д</w:t>
      </w:r>
      <w:r w:rsidR="00EE17AA">
        <w:rPr>
          <w:szCs w:val="28"/>
        </w:rPr>
        <w:t xml:space="preserve">***  </w:t>
      </w:r>
      <w:r>
        <w:rPr>
          <w:b w:val="0"/>
          <w:szCs w:val="28"/>
        </w:rPr>
        <w:t>, что подтверждается выпиской из Единого государственного реестра права на недвижимое имущество и сделок с ним. На основании протокола общего собрания собственников помещений в многоквартирном доме фонд капитального ремонта формируется на специальном счете владельцем которого является ООО УК Горизонт в соответствии с п.3 ст.170 ЖК РФ. За период с 01.10.2024 по 01.03.2025 за должником числится задолженность по оплате взноса на капитальный ремонт общего имущества в многоквартирном доме в размере 4824 рублей, пени в размере 28,15 рублей.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01.10.2024 по 01.03.2025 в размере 4824 рублей, а также пени за период с 21.12.2024 по 31.03.2025 в размере 28,15 рублей, а также пени по день исполнения решения суда, судебные издержки по уплате государственной пошлины в размере 4000 рублей, услуги представителя в размере 5250 рублей.</w:t>
      </w:r>
    </w:p>
    <w:p w:rsidR="00231421" w:rsidP="00231421">
      <w:pPr>
        <w:autoSpaceDE w:val="0"/>
        <w:autoSpaceDN w:val="0"/>
        <w:adjustRightInd w:val="0"/>
        <w:ind w:firstLine="567"/>
        <w:jc w:val="both"/>
        <w:rPr>
          <w:sz w:val="28"/>
          <w:szCs w:val="28"/>
        </w:rPr>
      </w:pPr>
      <w:r>
        <w:rPr>
          <w:sz w:val="28"/>
          <w:szCs w:val="28"/>
        </w:rPr>
        <w:t>Представитель истца в судебное заседание не явился, о времени и месте рассмотрения дела извещен надлежащим образом, ходатайствовал о рассмотрении дело без его участия. Руководствуясь ст. 167 ГПК РФ суд счел возможным рассмотреть дело в отсутствие представителя истца.</w:t>
      </w:r>
    </w:p>
    <w:p w:rsidR="00231421" w:rsidP="00231421">
      <w:pPr>
        <w:autoSpaceDE w:val="0"/>
        <w:autoSpaceDN w:val="0"/>
        <w:adjustRightInd w:val="0"/>
        <w:ind w:firstLine="567"/>
        <w:jc w:val="both"/>
        <w:rPr>
          <w:sz w:val="28"/>
          <w:szCs w:val="28"/>
        </w:rPr>
      </w:pPr>
      <w:r>
        <w:rPr>
          <w:sz w:val="28"/>
          <w:szCs w:val="28"/>
        </w:rPr>
        <w:t xml:space="preserve">  В письменных возражениях ответчик исковые требования не признала, просила в удовлетворении исковых требований отказать. Указав, что размер задолженности указан не верно, согласно искового заявления сумма за капитальный ремонт составляет 10 руб. за </w:t>
      </w:r>
      <w:r>
        <w:rPr>
          <w:sz w:val="28"/>
          <w:szCs w:val="28"/>
        </w:rPr>
        <w:t>кв.м</w:t>
      </w:r>
      <w:r>
        <w:rPr>
          <w:sz w:val="28"/>
          <w:szCs w:val="28"/>
        </w:rPr>
        <w:t xml:space="preserve">., площадь квартиры равна 40,2 </w:t>
      </w:r>
      <w:r>
        <w:rPr>
          <w:sz w:val="28"/>
          <w:szCs w:val="28"/>
        </w:rPr>
        <w:t>кв.м</w:t>
      </w:r>
      <w:r>
        <w:rPr>
          <w:sz w:val="28"/>
          <w:szCs w:val="28"/>
        </w:rPr>
        <w:t>. итого сумма к оплате составляет 402 рубля за один месяц, таким образом за 6 месяцев равна 2412 рублей. Согласно справке от ООО УК Горизонт по состоянию на 16.09.2025 у нее задолженность отсутствует. Считает, что истец не доказан факт несения юридических услуг, платежное поручение от 28.04.2025 не может свидетельствовать о понесенных расхода.</w:t>
      </w:r>
    </w:p>
    <w:p w:rsidR="00231421" w:rsidP="00231421">
      <w:pPr>
        <w:autoSpaceDE w:val="0"/>
        <w:autoSpaceDN w:val="0"/>
        <w:adjustRightInd w:val="0"/>
        <w:ind w:firstLine="567"/>
        <w:jc w:val="both"/>
        <w:rPr>
          <w:sz w:val="28"/>
          <w:szCs w:val="28"/>
        </w:rPr>
      </w:pPr>
      <w:r>
        <w:rPr>
          <w:sz w:val="28"/>
          <w:szCs w:val="28"/>
        </w:rPr>
        <w:t xml:space="preserve">  В судебном заседании ответчик от дачи пояснений отказалась.</w:t>
      </w:r>
    </w:p>
    <w:p w:rsidR="00231421" w:rsidP="00231421">
      <w:pPr>
        <w:autoSpaceDE w:val="0"/>
        <w:autoSpaceDN w:val="0"/>
        <w:adjustRightInd w:val="0"/>
        <w:ind w:firstLine="567"/>
        <w:jc w:val="both"/>
        <w:rPr>
          <w:sz w:val="28"/>
          <w:szCs w:val="28"/>
        </w:rPr>
      </w:pPr>
      <w:r>
        <w:rPr>
          <w:sz w:val="28"/>
          <w:szCs w:val="28"/>
        </w:rPr>
        <w:t xml:space="preserve">  В письменном отзыве на возражения представитель истца указал, что 05.05.2025 на судебный участок №8 Калининского судебного района города Тюмени было подана исковое заявление, в связи с тем, что истцу не было известно о месте жительстве ответчика. Установив место жительства ответчика дело было передано на судебный участок №2 Ханты-Мансийского судебного района. Указание задолженности в размере 4824 рублей является технической ошибкой. Задолженность по взносам рассчитывается по следующей формуле: </w:t>
      </w:r>
      <w:r>
        <w:rPr>
          <w:sz w:val="28"/>
          <w:szCs w:val="28"/>
          <w:lang w:val="en-US"/>
        </w:rPr>
        <w:t>S</w:t>
      </w:r>
      <w:r>
        <w:rPr>
          <w:sz w:val="28"/>
          <w:szCs w:val="28"/>
        </w:rPr>
        <w:t>помещения*размер взноса. В исковом заявлении площадь и размер взноса были указаны верно. Ответчик заявляет, что на 16.09.2025 задолженность отсутствует. По состоянию на 04.12.2025 требования УК в части взыскания основного долга и пени были удовлетворены. Так, 06.06.2025 на расчетный счет УК поступил платеж в размере 3281,85 рублей, 3216 был разнесен как уплата за взнос за период с 01.10.2024 по 01.05.2025, 65,85 рублей пеня за тот же период. Таким образом задолженность оплачена после обращения с исковым заявлением в суд. Однако в связи с необходимостью обращения в суд УК понесла судебные расходы на услуги юриста, что подтверждается договором, заключенным между ОО УК Горизонт и ООО Наш дом про, актом выполненных работ и платежным поручением. Доводы ответчика о том, что платежное поручение не является доказательством оплаты юридических услуг, не могут быть состязательными. Также платёжным поручением истец доказал факт несения расходов по уплате госпошлины. Поэтому требования ответчика об отказе в удовлетворении требований основаны на не верном толковании норм права.</w:t>
      </w:r>
    </w:p>
    <w:p w:rsidR="00231421" w:rsidP="00231421">
      <w:pPr>
        <w:jc w:val="both"/>
        <w:rPr>
          <w:sz w:val="28"/>
          <w:szCs w:val="28"/>
        </w:rPr>
      </w:pPr>
      <w:r>
        <w:rPr>
          <w:sz w:val="28"/>
          <w:szCs w:val="28"/>
        </w:rPr>
        <w:tab/>
        <w:t>Изучив и проанализировав материалы дела, мировой судья пришел к следующему.</w:t>
      </w:r>
    </w:p>
    <w:p w:rsidR="00231421" w:rsidP="00231421">
      <w:pPr>
        <w:ind w:firstLine="708"/>
        <w:jc w:val="both"/>
        <w:rPr>
          <w:sz w:val="28"/>
          <w:szCs w:val="28"/>
        </w:rPr>
      </w:pPr>
      <w:r>
        <w:rPr>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231421" w:rsidP="00231421">
      <w:pPr>
        <w:jc w:val="both"/>
        <w:rPr>
          <w:sz w:val="28"/>
          <w:szCs w:val="28"/>
        </w:rPr>
      </w:pPr>
      <w:r>
        <w:rPr>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231421" w:rsidP="00231421">
      <w:pPr>
        <w:ind w:firstLine="708"/>
        <w:jc w:val="both"/>
        <w:rPr>
          <w:sz w:val="28"/>
          <w:szCs w:val="28"/>
        </w:rPr>
      </w:pPr>
      <w:r>
        <w:rPr>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231421" w:rsidP="00231421">
      <w:pPr>
        <w:ind w:firstLine="708"/>
        <w:jc w:val="both"/>
        <w:rPr>
          <w:sz w:val="28"/>
          <w:szCs w:val="28"/>
        </w:rPr>
      </w:pPr>
      <w:r>
        <w:rPr>
          <w:sz w:val="28"/>
          <w:szCs w:val="28"/>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231421" w:rsidP="00231421">
      <w:pPr>
        <w:ind w:firstLine="708"/>
        <w:jc w:val="both"/>
        <w:rPr>
          <w:sz w:val="28"/>
          <w:szCs w:val="28"/>
        </w:rPr>
      </w:pPr>
      <w:r>
        <w:rPr>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231421" w:rsidP="00231421">
      <w:pPr>
        <w:ind w:firstLine="708"/>
        <w:jc w:val="both"/>
        <w:rPr>
          <w:sz w:val="28"/>
          <w:szCs w:val="28"/>
        </w:rPr>
      </w:pPr>
      <w:r>
        <w:rPr>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231421" w:rsidP="00231421">
      <w:pPr>
        <w:ind w:firstLine="708"/>
        <w:jc w:val="both"/>
        <w:rPr>
          <w:sz w:val="28"/>
          <w:szCs w:val="28"/>
        </w:rPr>
      </w:pPr>
      <w:r>
        <w:rPr>
          <w:sz w:val="28"/>
          <w:szCs w:val="28"/>
        </w:rPr>
        <w:t xml:space="preserve">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w:t>
      </w:r>
      <w:r>
        <w:rPr>
          <w:sz w:val="28"/>
          <w:szCs w:val="28"/>
        </w:rPr>
        <w:t>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231421" w:rsidP="00231421">
      <w:pPr>
        <w:ind w:firstLine="708"/>
        <w:jc w:val="both"/>
        <w:rPr>
          <w:sz w:val="28"/>
          <w:szCs w:val="28"/>
        </w:rPr>
      </w:pPr>
      <w:r>
        <w:rPr>
          <w:sz w:val="28"/>
          <w:szCs w:val="28"/>
        </w:rPr>
        <w:t>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231421" w:rsidP="00231421">
      <w:pPr>
        <w:ind w:firstLine="708"/>
        <w:jc w:val="both"/>
        <w:rPr>
          <w:color w:val="000000" w:themeColor="text1"/>
          <w:sz w:val="28"/>
          <w:szCs w:val="28"/>
        </w:rPr>
      </w:pPr>
      <w:r>
        <w:rPr>
          <w:color w:val="000000" w:themeColor="text1"/>
          <w:sz w:val="28"/>
          <w:szCs w:val="28"/>
        </w:rPr>
        <w:t xml:space="preserve">Многоквартирный жилой 14 по улице </w:t>
      </w:r>
      <w:r>
        <w:rPr>
          <w:color w:val="000000" w:themeColor="text1"/>
          <w:sz w:val="28"/>
          <w:szCs w:val="28"/>
        </w:rPr>
        <w:t>Первооткрываетелей</w:t>
      </w:r>
      <w:r>
        <w:rPr>
          <w:color w:val="000000" w:themeColor="text1"/>
          <w:sz w:val="28"/>
          <w:szCs w:val="28"/>
        </w:rPr>
        <w:t xml:space="preserve"> </w:t>
      </w:r>
      <w:r>
        <w:rPr>
          <w:color w:val="000000" w:themeColor="text1"/>
          <w:sz w:val="28"/>
          <w:szCs w:val="28"/>
        </w:rPr>
        <w:t>г.Тюмени</w:t>
      </w:r>
      <w:r>
        <w:rPr>
          <w:color w:val="000000" w:themeColor="text1"/>
          <w:sz w:val="28"/>
          <w:szCs w:val="28"/>
        </w:rPr>
        <w:t xml:space="preserve"> включен в программу капитального ремонта общего имущества в многоквартирных домах. </w:t>
      </w:r>
    </w:p>
    <w:p w:rsidR="00231421" w:rsidP="00231421">
      <w:pPr>
        <w:ind w:firstLine="708"/>
        <w:jc w:val="both"/>
        <w:rPr>
          <w:sz w:val="28"/>
          <w:szCs w:val="28"/>
        </w:rPr>
      </w:pPr>
      <w:r>
        <w:rPr>
          <w:sz w:val="28"/>
          <w:szCs w:val="28"/>
        </w:rPr>
        <w:t xml:space="preserve">Ответчик является собственником </w:t>
      </w:r>
      <w:r w:rsidR="00EE17AA">
        <w:rPr>
          <w:sz w:val="28"/>
          <w:szCs w:val="28"/>
        </w:rPr>
        <w:t>**</w:t>
      </w:r>
      <w:r w:rsidR="00EE17AA">
        <w:rPr>
          <w:sz w:val="28"/>
          <w:szCs w:val="28"/>
        </w:rPr>
        <w:t xml:space="preserve">*  </w:t>
      </w:r>
      <w:r>
        <w:rPr>
          <w:sz w:val="28"/>
          <w:szCs w:val="28"/>
        </w:rPr>
        <w:t>,</w:t>
      </w:r>
      <w:r>
        <w:rPr>
          <w:sz w:val="28"/>
          <w:szCs w:val="28"/>
        </w:rPr>
        <w:t xml:space="preserve"> что подтверждается материалами дела и не оспаривается ответчиком. </w:t>
      </w:r>
    </w:p>
    <w:p w:rsidR="00231421" w:rsidP="00231421">
      <w:pPr>
        <w:ind w:firstLine="708"/>
        <w:jc w:val="both"/>
        <w:rPr>
          <w:sz w:val="28"/>
          <w:szCs w:val="28"/>
        </w:rPr>
      </w:pPr>
      <w:r>
        <w:rPr>
          <w:sz w:val="28"/>
          <w:szCs w:val="28"/>
        </w:rPr>
        <w:t>На основании протокола общего собрания собственников помещений в многоквартирном доме фонд капитального ремонта формируется на специальном счете владельцем которого является ООО УК Горизонт в соответствии с п.3 ст.170 ЖК РФ.</w:t>
      </w:r>
    </w:p>
    <w:p w:rsidR="00231421" w:rsidP="00231421">
      <w:pPr>
        <w:ind w:firstLine="708"/>
        <w:jc w:val="both"/>
        <w:rPr>
          <w:sz w:val="28"/>
          <w:szCs w:val="28"/>
        </w:rPr>
      </w:pPr>
      <w:r>
        <w:rPr>
          <w:sz w:val="28"/>
          <w:szCs w:val="28"/>
        </w:rPr>
        <w:t>Согласно ст.209 ГК РФ собственнику принадлежат права владения, пользования и распоряжения своим имуществом.</w:t>
      </w:r>
    </w:p>
    <w:p w:rsidR="00231421" w:rsidP="00231421">
      <w:pPr>
        <w:ind w:firstLine="708"/>
        <w:jc w:val="both"/>
        <w:rPr>
          <w:sz w:val="28"/>
          <w:szCs w:val="28"/>
        </w:rPr>
      </w:pPr>
      <w:r>
        <w:rPr>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231421" w:rsidP="00231421">
      <w:pPr>
        <w:ind w:firstLine="708"/>
        <w:jc w:val="both"/>
        <w:rPr>
          <w:sz w:val="28"/>
          <w:szCs w:val="28"/>
        </w:rPr>
      </w:pPr>
      <w:r>
        <w:rPr>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231421" w:rsidP="00231421">
      <w:pPr>
        <w:ind w:firstLine="708"/>
        <w:jc w:val="both"/>
        <w:rPr>
          <w:sz w:val="28"/>
          <w:szCs w:val="28"/>
        </w:rPr>
      </w:pPr>
      <w:r>
        <w:rPr>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231421" w:rsidP="00231421">
      <w:pPr>
        <w:ind w:firstLine="708"/>
        <w:jc w:val="both"/>
        <w:rPr>
          <w:sz w:val="28"/>
          <w:szCs w:val="28"/>
        </w:rPr>
      </w:pPr>
      <w:r>
        <w:rPr>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231421" w:rsidP="00231421">
      <w:pPr>
        <w:ind w:firstLine="708"/>
        <w:jc w:val="both"/>
        <w:rPr>
          <w:sz w:val="28"/>
          <w:szCs w:val="28"/>
        </w:rPr>
      </w:pPr>
      <w:r>
        <w:rPr>
          <w:sz w:val="28"/>
          <w:szCs w:val="28"/>
        </w:rPr>
        <w:t xml:space="preserve">В судебном заседании установлено, что согласно расчета у ответчика имелась задолженность по взносам на капитальный ремонт общего имущества в многоквартирном доме с 01.10.2024 по 01.03.2025 в размере 2412 рублей, а также пени с 21.12.2024 по 31.03.2025 в размере 28,15 рублей. </w:t>
      </w:r>
    </w:p>
    <w:p w:rsidR="00231421" w:rsidP="00231421">
      <w:pPr>
        <w:ind w:firstLine="708"/>
        <w:jc w:val="both"/>
        <w:rPr>
          <w:sz w:val="28"/>
          <w:szCs w:val="28"/>
        </w:rPr>
      </w:pPr>
      <w:r>
        <w:rPr>
          <w:sz w:val="28"/>
          <w:szCs w:val="28"/>
        </w:rPr>
        <w:t xml:space="preserve">Также подтверждается внесение ответчиком оплаты указанной задолженности 06.06.2025. </w:t>
      </w:r>
    </w:p>
    <w:p w:rsidR="00231421" w:rsidP="00231421">
      <w:pPr>
        <w:ind w:firstLine="708"/>
        <w:jc w:val="both"/>
        <w:rPr>
          <w:sz w:val="28"/>
          <w:szCs w:val="28"/>
        </w:rPr>
      </w:pPr>
      <w:r>
        <w:rPr>
          <w:sz w:val="28"/>
          <w:szCs w:val="28"/>
        </w:rPr>
        <w:t>В связи с чем, доводы истца по взысканию задолженности обоснованы, однако не подлежит взысканию, так как добровольно исполнены ответчиком до вынесения решения.</w:t>
      </w:r>
    </w:p>
    <w:p w:rsidR="00231421" w:rsidP="00231421">
      <w:pPr>
        <w:ind w:firstLine="567"/>
        <w:jc w:val="both"/>
        <w:rPr>
          <w:snapToGrid w:val="0"/>
          <w:sz w:val="28"/>
          <w:szCs w:val="28"/>
        </w:rPr>
      </w:pPr>
      <w:r>
        <w:rPr>
          <w:snapToGrid w:val="0"/>
          <w:sz w:val="28"/>
          <w:szCs w:val="28"/>
        </w:rPr>
        <w:t xml:space="preserve"> В соответствии со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Согласно договору, акта выполненных работ и падежного поручения, истцом уплачено ООО «Наш Дом Про» 5250 рублей за оказание юридической помощи по взыскания задолженности с ответчика. </w:t>
      </w:r>
      <w:r>
        <w:rPr>
          <w:sz w:val="28"/>
          <w:szCs w:val="28"/>
        </w:rPr>
        <w:t>В связи с чем, требование истца о взыскании с ответчика расходов по оплате юридических услуг, является обоснованным, и подлежит удовлетворению в размере 5250 рублей, пропорционально размеру удовлетворенных судом требований, с учетом объема оказанных истцу юридических услуг, сложности дела, а также требования закона о взыскании расходов на оплату услуг представителя в разумных пределах, данная сумма соразмерна проделанной представителем работе по подготовке иска и иных документов по делу</w:t>
      </w:r>
      <w:r>
        <w:rPr>
          <w:snapToGrid w:val="0"/>
          <w:sz w:val="28"/>
          <w:szCs w:val="28"/>
        </w:rPr>
        <w:t xml:space="preserve">.  </w:t>
      </w:r>
    </w:p>
    <w:p w:rsidR="00231421" w:rsidP="00231421">
      <w:pPr>
        <w:ind w:firstLine="708"/>
        <w:jc w:val="both"/>
        <w:rPr>
          <w:sz w:val="28"/>
          <w:szCs w:val="28"/>
        </w:rPr>
      </w:pPr>
      <w:r>
        <w:rPr>
          <w:sz w:val="28"/>
          <w:szCs w:val="28"/>
        </w:rPr>
        <w:t>В соответствии со ст.98 ГПК РФ, суд считает необходимым взыскать с ответчиков расходы истца, понесённые по уплате государственной пошлины, при подаче иска в суд, исходя из размера удовлетворённого требования в размере 4000 руб.</w:t>
      </w:r>
    </w:p>
    <w:p w:rsidR="00231421" w:rsidP="00231421">
      <w:pPr>
        <w:pStyle w:val="BodyText"/>
        <w:ind w:firstLine="708"/>
        <w:rPr>
          <w:sz w:val="28"/>
          <w:szCs w:val="28"/>
        </w:rPr>
      </w:pPr>
      <w:r>
        <w:rPr>
          <w:sz w:val="28"/>
          <w:szCs w:val="28"/>
        </w:rPr>
        <w:t>На основании изложенного, руководствуясь ст.ст.98-101, 194-199, 233 ГПК РФ, мировой судья,</w:t>
      </w:r>
    </w:p>
    <w:p w:rsidR="00231421" w:rsidP="00231421">
      <w:pPr>
        <w:jc w:val="center"/>
        <w:rPr>
          <w:sz w:val="28"/>
          <w:szCs w:val="28"/>
        </w:rPr>
      </w:pPr>
      <w:r>
        <w:rPr>
          <w:sz w:val="28"/>
          <w:szCs w:val="28"/>
        </w:rPr>
        <w:t>РЕШИЛ:</w:t>
      </w:r>
    </w:p>
    <w:p w:rsidR="00231421" w:rsidP="00231421">
      <w:pPr>
        <w:ind w:firstLine="567"/>
        <w:jc w:val="both"/>
        <w:rPr>
          <w:sz w:val="28"/>
          <w:szCs w:val="28"/>
        </w:rPr>
      </w:pPr>
      <w:r>
        <w:rPr>
          <w:spacing w:val="-1"/>
          <w:sz w:val="28"/>
          <w:szCs w:val="28"/>
        </w:rPr>
        <w:t xml:space="preserve">Исковые требования </w:t>
      </w:r>
      <w:r>
        <w:rPr>
          <w:sz w:val="28"/>
          <w:szCs w:val="28"/>
        </w:rPr>
        <w:t xml:space="preserve">ООО УК «Горизонт» к Стародубовой </w:t>
      </w:r>
      <w:r w:rsidR="00EE17AA">
        <w:rPr>
          <w:sz w:val="28"/>
          <w:szCs w:val="28"/>
        </w:rPr>
        <w:t>**</w:t>
      </w:r>
      <w:r w:rsidR="00EE17AA">
        <w:rPr>
          <w:sz w:val="28"/>
          <w:szCs w:val="28"/>
        </w:rPr>
        <w:t xml:space="preserve">*  </w:t>
      </w:r>
      <w:r>
        <w:rPr>
          <w:sz w:val="28"/>
          <w:szCs w:val="28"/>
        </w:rPr>
        <w:t>о</w:t>
      </w:r>
      <w:r>
        <w:rPr>
          <w:sz w:val="28"/>
          <w:szCs w:val="28"/>
        </w:rPr>
        <w:t xml:space="preserve"> взыскании задолженности удовлетворить.</w:t>
      </w:r>
    </w:p>
    <w:p w:rsidR="00231421" w:rsidP="00231421">
      <w:pPr>
        <w:pStyle w:val="BodyText2"/>
        <w:shd w:val="clear" w:color="auto" w:fill="FFFFFF"/>
        <w:spacing w:after="0" w:line="240" w:lineRule="auto"/>
        <w:jc w:val="both"/>
        <w:rPr>
          <w:sz w:val="28"/>
          <w:szCs w:val="28"/>
        </w:rPr>
      </w:pPr>
      <w:r>
        <w:rPr>
          <w:sz w:val="28"/>
          <w:szCs w:val="28"/>
        </w:rPr>
        <w:t xml:space="preserve">        Взыскать со Стародубовой </w:t>
      </w:r>
      <w:r w:rsidR="00EE17AA">
        <w:rPr>
          <w:sz w:val="28"/>
          <w:szCs w:val="28"/>
        </w:rPr>
        <w:t xml:space="preserve">***  </w:t>
      </w:r>
      <w:r>
        <w:rPr>
          <w:sz w:val="28"/>
          <w:szCs w:val="28"/>
        </w:rPr>
        <w:t xml:space="preserve">(паспорт </w:t>
      </w:r>
      <w:r w:rsidR="00EE17AA">
        <w:rPr>
          <w:sz w:val="28"/>
          <w:szCs w:val="28"/>
        </w:rPr>
        <w:t xml:space="preserve">***  </w:t>
      </w:r>
      <w:r>
        <w:rPr>
          <w:sz w:val="28"/>
          <w:szCs w:val="28"/>
        </w:rPr>
        <w:t>в пользу ООО УК «Горизонт» 4000 руб. - в счет возмещения расходов по уплате государственной пошлины, 5250 рублей – услуги представителя.</w:t>
      </w:r>
    </w:p>
    <w:p w:rsidR="00231421" w:rsidP="00231421">
      <w:pPr>
        <w:pStyle w:val="BodyText2"/>
        <w:shd w:val="clear" w:color="auto" w:fill="FFFFFF"/>
        <w:spacing w:after="0" w:line="240" w:lineRule="auto"/>
        <w:jc w:val="both"/>
        <w:rPr>
          <w:sz w:val="28"/>
          <w:szCs w:val="28"/>
        </w:rPr>
      </w:pPr>
      <w:r>
        <w:rPr>
          <w:sz w:val="28"/>
          <w:szCs w:val="28"/>
        </w:rPr>
        <w:t xml:space="preserve">        Настоящее решение может быть обжаловано в Ханты-Мансийский районный суд путем подачи жалобы мировому судье в течение 1 месяца со дня вынесения мировым судьей решения.</w:t>
      </w:r>
    </w:p>
    <w:p w:rsidR="00231421" w:rsidP="00231421">
      <w:pPr>
        <w:ind w:firstLine="567"/>
        <w:jc w:val="both"/>
        <w:rPr>
          <w:sz w:val="28"/>
          <w:szCs w:val="28"/>
        </w:rPr>
      </w:pPr>
      <w:r>
        <w:rPr>
          <w:sz w:val="28"/>
          <w:szCs w:val="28"/>
        </w:rPr>
        <w:t xml:space="preserve">Мотивированное решение изготовлено 17 декабря 2025 года по заявлению ответчика. </w:t>
      </w:r>
    </w:p>
    <w:p w:rsidR="00231421" w:rsidP="00231421">
      <w:pPr>
        <w:jc w:val="both"/>
        <w:rPr>
          <w:sz w:val="28"/>
          <w:szCs w:val="28"/>
        </w:rPr>
      </w:pPr>
    </w:p>
    <w:p w:rsidR="00231421" w:rsidP="00231421">
      <w:pPr>
        <w:rPr>
          <w:sz w:val="28"/>
          <w:szCs w:val="28"/>
        </w:rPr>
      </w:pPr>
      <w:r>
        <w:rPr>
          <w:sz w:val="28"/>
          <w:szCs w:val="28"/>
        </w:rPr>
        <w:t xml:space="preserve">Мировой </w:t>
      </w:r>
      <w:r>
        <w:rPr>
          <w:sz w:val="28"/>
          <w:szCs w:val="28"/>
        </w:rPr>
        <w:t xml:space="preserve">судья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231421" w:rsidP="00231421">
      <w:pPr>
        <w:rPr>
          <w:sz w:val="28"/>
          <w:szCs w:val="28"/>
        </w:rPr>
      </w:pPr>
      <w:r>
        <w:rPr>
          <w:sz w:val="28"/>
          <w:szCs w:val="28"/>
        </w:rPr>
        <w:t>Копия верна.</w:t>
      </w:r>
    </w:p>
    <w:p w:rsidR="00231421" w:rsidP="00231421">
      <w:pPr>
        <w:rPr>
          <w:sz w:val="28"/>
          <w:szCs w:val="28"/>
        </w:rPr>
      </w:pPr>
      <w:r>
        <w:rPr>
          <w:sz w:val="28"/>
          <w:szCs w:val="28"/>
        </w:rPr>
        <w:t>Мировой судья                                                                     О.А. Новокшенова</w:t>
      </w:r>
    </w:p>
    <w:p w:rsidR="00231421" w:rsidP="00231421"/>
    <w:p w:rsidR="006B157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EA"/>
    <w:rsid w:val="00231421"/>
    <w:rsid w:val="00433AEA"/>
    <w:rsid w:val="006B1576"/>
    <w:rsid w:val="00EE17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78111ED-E30B-495E-AED4-697120F8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21"/>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semiHidden/>
    <w:unhideWhenUsed/>
    <w:qFormat/>
    <w:rsid w:val="00231421"/>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semiHidden/>
    <w:rsid w:val="00231421"/>
    <w:rPr>
      <w:rFonts w:ascii="Times New Roman" w:eastAsia="Times New Roman" w:hAnsi="Times New Roman" w:cs="Times New Roman"/>
      <w:b/>
      <w:sz w:val="28"/>
      <w:szCs w:val="20"/>
      <w:lang w:eastAsia="ru-RU"/>
    </w:rPr>
  </w:style>
  <w:style w:type="paragraph" w:styleId="Title">
    <w:name w:val="Title"/>
    <w:basedOn w:val="Normal"/>
    <w:link w:val="a"/>
    <w:qFormat/>
    <w:rsid w:val="00231421"/>
    <w:pPr>
      <w:jc w:val="center"/>
    </w:pPr>
    <w:rPr>
      <w:b/>
      <w:sz w:val="32"/>
      <w:szCs w:val="20"/>
    </w:rPr>
  </w:style>
  <w:style w:type="character" w:customStyle="1" w:styleId="a">
    <w:name w:val="Название Знак"/>
    <w:basedOn w:val="DefaultParagraphFont"/>
    <w:link w:val="Title"/>
    <w:rsid w:val="00231421"/>
    <w:rPr>
      <w:rFonts w:ascii="Times New Roman" w:eastAsia="Times New Roman" w:hAnsi="Times New Roman" w:cs="Times New Roman"/>
      <w:b/>
      <w:sz w:val="32"/>
      <w:szCs w:val="20"/>
      <w:lang w:eastAsia="ru-RU"/>
    </w:rPr>
  </w:style>
  <w:style w:type="paragraph" w:styleId="BodyText">
    <w:name w:val="Body Text"/>
    <w:basedOn w:val="Normal"/>
    <w:link w:val="a0"/>
    <w:semiHidden/>
    <w:unhideWhenUsed/>
    <w:rsid w:val="00231421"/>
    <w:pPr>
      <w:jc w:val="both"/>
    </w:pPr>
    <w:rPr>
      <w:sz w:val="26"/>
      <w:szCs w:val="20"/>
    </w:rPr>
  </w:style>
  <w:style w:type="character" w:customStyle="1" w:styleId="a0">
    <w:name w:val="Основной текст Знак"/>
    <w:basedOn w:val="DefaultParagraphFont"/>
    <w:link w:val="BodyText"/>
    <w:semiHidden/>
    <w:rsid w:val="00231421"/>
    <w:rPr>
      <w:rFonts w:ascii="Times New Roman" w:eastAsia="Times New Roman" w:hAnsi="Times New Roman" w:cs="Times New Roman"/>
      <w:sz w:val="26"/>
      <w:szCs w:val="20"/>
      <w:lang w:eastAsia="ru-RU"/>
    </w:rPr>
  </w:style>
  <w:style w:type="paragraph" w:styleId="Subtitle">
    <w:name w:val="Subtitle"/>
    <w:basedOn w:val="Normal"/>
    <w:link w:val="a1"/>
    <w:qFormat/>
    <w:rsid w:val="00231421"/>
    <w:pPr>
      <w:jc w:val="center"/>
    </w:pPr>
    <w:rPr>
      <w:b/>
      <w:sz w:val="26"/>
      <w:szCs w:val="20"/>
    </w:rPr>
  </w:style>
  <w:style w:type="character" w:customStyle="1" w:styleId="a1">
    <w:name w:val="Подзаголовок Знак"/>
    <w:basedOn w:val="DefaultParagraphFont"/>
    <w:link w:val="Subtitle"/>
    <w:rsid w:val="00231421"/>
    <w:rPr>
      <w:rFonts w:ascii="Times New Roman" w:eastAsia="Times New Roman" w:hAnsi="Times New Roman" w:cs="Times New Roman"/>
      <w:b/>
      <w:sz w:val="26"/>
      <w:szCs w:val="20"/>
      <w:lang w:eastAsia="ru-RU"/>
    </w:rPr>
  </w:style>
  <w:style w:type="paragraph" w:styleId="BodyText2">
    <w:name w:val="Body Text 2"/>
    <w:basedOn w:val="Normal"/>
    <w:link w:val="20"/>
    <w:semiHidden/>
    <w:unhideWhenUsed/>
    <w:rsid w:val="00231421"/>
    <w:pPr>
      <w:spacing w:after="120" w:line="480" w:lineRule="auto"/>
    </w:pPr>
  </w:style>
  <w:style w:type="character" w:customStyle="1" w:styleId="20">
    <w:name w:val="Основной текст 2 Знак"/>
    <w:basedOn w:val="DefaultParagraphFont"/>
    <w:link w:val="BodyText2"/>
    <w:semiHidden/>
    <w:rsid w:val="00231421"/>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231421"/>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23142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